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D8" w:rsidRDefault="000C57D8" w:rsidP="00001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Методическая</w:t>
      </w:r>
      <w:r w:rsidR="00236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учеба</w:t>
      </w:r>
    </w:p>
    <w:p w:rsidR="000C57D8" w:rsidRDefault="000C57D8" w:rsidP="00001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Индивидуальный</w:t>
      </w:r>
      <w:r w:rsidR="002361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</w:t>
      </w:r>
      <w:proofErr w:type="gramEnd"/>
      <w:r w:rsidR="002361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саморазвития</w:t>
      </w:r>
      <w:r w:rsidR="002361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преподавателя</w:t>
      </w:r>
      <w:r w:rsidR="002361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КПК»</w:t>
      </w:r>
    </w:p>
    <w:p w:rsidR="00001625" w:rsidRDefault="00001625" w:rsidP="00001625">
      <w:pPr>
        <w:shd w:val="clear" w:color="auto" w:fill="FFFFFF"/>
        <w:spacing w:after="149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C57D8" w:rsidRDefault="000C57D8" w:rsidP="00001625">
      <w:pPr>
        <w:shd w:val="clear" w:color="auto" w:fill="FFFFFF"/>
        <w:spacing w:after="149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Рук.ШМП</w:t>
      </w:r>
      <w:proofErr w:type="spellEnd"/>
      <w:r w:rsidR="00236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Баекенова</w:t>
      </w:r>
      <w:proofErr w:type="spellEnd"/>
      <w:proofErr w:type="gramEnd"/>
      <w:r w:rsidR="00236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С.А.</w:t>
      </w:r>
    </w:p>
    <w:p w:rsidR="000C57D8" w:rsidRPr="00861C38" w:rsidRDefault="000C57D8" w:rsidP="00001625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861C38">
        <w:rPr>
          <w:color w:val="000000"/>
        </w:rPr>
        <w:t>Педагогическая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деятельность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предполагает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не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только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знание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педагогом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своего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предмета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и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владение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методикой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его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преподавания,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но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и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способность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ориентироваться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в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различных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сферах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общественной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жизни,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быть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культурным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человеком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в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широком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смысле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этого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слова.</w:t>
      </w:r>
    </w:p>
    <w:p w:rsidR="000C57D8" w:rsidRDefault="000C57D8" w:rsidP="00001625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861C38">
        <w:rPr>
          <w:color w:val="000000"/>
        </w:rPr>
        <w:t>Чтобы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не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отстать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от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времени,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педагог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должен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постоянно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совершенствовать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свои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знания,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овладевать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прогрессивными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педагогическими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технологиями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воспитания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и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обучения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и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тем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самым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обеспечить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возможность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для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своего</w:t>
      </w:r>
      <w:r w:rsidR="00236122">
        <w:rPr>
          <w:color w:val="000000"/>
        </w:rPr>
        <w:t xml:space="preserve"> </w:t>
      </w:r>
      <w:r w:rsidRPr="00861C38">
        <w:rPr>
          <w:color w:val="000000"/>
        </w:rPr>
        <w:t>развития.</w:t>
      </w:r>
    </w:p>
    <w:p w:rsidR="00001625" w:rsidRPr="00861C38" w:rsidRDefault="00001625" w:rsidP="00001625">
      <w:pPr>
        <w:pStyle w:val="a3"/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</w:rPr>
      </w:pPr>
    </w:p>
    <w:p w:rsidR="000C57D8" w:rsidRDefault="000C57D8" w:rsidP="0000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5D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Методические</w:t>
      </w:r>
      <w:r w:rsidR="00236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рекомендации</w:t>
      </w:r>
      <w:r w:rsidR="00236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</w:t>
      </w:r>
      <w:r w:rsidR="00236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выбора</w:t>
      </w:r>
      <w:r w:rsidR="00236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="00236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формулирования</w:t>
      </w:r>
      <w:r w:rsidR="00236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</w:t>
      </w:r>
      <w:r w:rsidR="00236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самообразования</w:t>
      </w:r>
    </w:p>
    <w:p w:rsidR="00001625" w:rsidRPr="00364D76" w:rsidRDefault="00001625" w:rsidP="0000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C57D8" w:rsidRPr="00236122" w:rsidRDefault="000C57D8" w:rsidP="00C90FB1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Как</w:t>
      </w:r>
      <w:r w:rsidR="00236122" w:rsidRP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выбирается</w:t>
      </w:r>
      <w:r w:rsidR="00236122" w:rsidRP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тема.</w:t>
      </w:r>
    </w:p>
    <w:p w:rsidR="000C57D8" w:rsidRDefault="000C57D8" w:rsidP="000016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самообразования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выбирается,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исходя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из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проблем,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которые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обнаруживает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учитель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процессе</w:t>
      </w:r>
      <w:proofErr w:type="gramEnd"/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своей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педагогической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деятельности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(для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совершенствования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своего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профессионального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уровня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соответственно,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решения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обозначенных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проблем).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Например: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</w:t>
      </w:r>
      <w:proofErr w:type="gramEnd"/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педагогу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необходимо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освоить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методику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групповой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работы,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следовательно,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он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планирует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три-четыре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года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работу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над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темой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самообразования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«Совершенствование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общеучебных</w:t>
      </w:r>
      <w:proofErr w:type="spellEnd"/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знаний,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умений,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навыков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посредством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использования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групповых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форм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работы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уроках…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</w:p>
    <w:p w:rsidR="000C57D8" w:rsidRDefault="000C57D8" w:rsidP="00001625">
      <w:pPr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(предмет)».</w:t>
      </w:r>
    </w:p>
    <w:p w:rsidR="000C57D8" w:rsidRPr="00615D5E" w:rsidRDefault="000C57D8" w:rsidP="00001625">
      <w:pPr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Может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быть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самообразования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учителя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связана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общей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стратегической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целью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развития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общеобразовательного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учреждения;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если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педагог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работает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экспериментальном,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инновационном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режиме,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выбирается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соответствии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задачами,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которые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реализует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данное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направление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деятельности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ОУ.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Например: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«Методические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рекомендации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использованию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рекреационных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технологий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уроках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(предмет)»,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«Использование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региональной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составляющей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уроках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(предмет)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как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условие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формирования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поликультурной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личности</w:t>
      </w:r>
      <w:proofErr w:type="gramStart"/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</w:t>
      </w:r>
      <w:proofErr w:type="gramEnd"/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Использование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приёмов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деятельностного</w:t>
      </w:r>
      <w:proofErr w:type="spellEnd"/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подхода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уроках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(предмет)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для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развития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творческих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способностей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обучающихся».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</w:t>
      </w:r>
    </w:p>
    <w:p w:rsidR="000C57D8" w:rsidRDefault="000C57D8" w:rsidP="000016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0C57D8" w:rsidRPr="00C90FB1" w:rsidRDefault="00C90FB1" w:rsidP="00C90FB1">
      <w:pPr>
        <w:pStyle w:val="a4"/>
        <w:spacing w:after="0" w:line="240" w:lineRule="auto"/>
        <w:ind w:left="0" w:firstLine="426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2. </w:t>
      </w:r>
      <w:r w:rsidR="000C57D8" w:rsidRPr="00C90FB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Как</w:t>
      </w:r>
      <w:r w:rsidR="00236122" w:rsidRPr="00C90FB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C90FB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правильно</w:t>
      </w:r>
      <w:r w:rsidR="00236122" w:rsidRPr="00C90FB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C90FB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формулировать</w:t>
      </w:r>
      <w:r w:rsidR="00236122" w:rsidRPr="00C90FB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C90FB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тему</w:t>
      </w:r>
      <w:r w:rsidR="00236122" w:rsidRPr="00C90FB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C90FB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самообразования.</w:t>
      </w:r>
    </w:p>
    <w:p w:rsidR="000C57D8" w:rsidRPr="00615D5E" w:rsidRDefault="000C57D8" w:rsidP="00001625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Формулировка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традиционной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темы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самообразования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условно</w:t>
      </w:r>
      <w:proofErr w:type="gramEnd"/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содержит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три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части: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0C57D8" w:rsidRPr="00615D5E" w:rsidTr="00B36280">
        <w:trPr>
          <w:trHeight w:val="1226"/>
        </w:trPr>
        <w:tc>
          <w:tcPr>
            <w:tcW w:w="311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001625" w:rsidRDefault="000C57D8" w:rsidP="0023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I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часть</w:t>
            </w:r>
          </w:p>
          <w:p w:rsidR="00236122" w:rsidRDefault="00236122" w:rsidP="0023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15D5E" w:rsidRPr="00615D5E" w:rsidRDefault="000C57D8" w:rsidP="002361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(основная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часть: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содержит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проблему)</w:t>
            </w:r>
          </w:p>
        </w:tc>
        <w:tc>
          <w:tcPr>
            <w:tcW w:w="311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001625" w:rsidRDefault="000C57D8" w:rsidP="0023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II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часть</w:t>
            </w:r>
          </w:p>
          <w:p w:rsidR="00615D5E" w:rsidRPr="00615D5E" w:rsidRDefault="000C57D8" w:rsidP="0023612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(связующее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звено)</w:t>
            </w:r>
          </w:p>
        </w:tc>
        <w:tc>
          <w:tcPr>
            <w:tcW w:w="311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001625" w:rsidRDefault="000C57D8" w:rsidP="0023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III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часть</w:t>
            </w:r>
          </w:p>
          <w:p w:rsidR="00615D5E" w:rsidRPr="00615D5E" w:rsidRDefault="000C57D8" w:rsidP="0023612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(аспект,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через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который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будет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решаться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обозначенная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проблема)</w:t>
            </w:r>
          </w:p>
        </w:tc>
      </w:tr>
      <w:tr w:rsidR="000C57D8" w:rsidRPr="00615D5E" w:rsidTr="000C57D8">
        <w:trPr>
          <w:trHeight w:val="3782"/>
        </w:trPr>
        <w:tc>
          <w:tcPr>
            <w:tcW w:w="311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Совершенствование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Формирование…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Интеграция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Развитие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Организация…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Осуществление…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Применение…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Использование…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</w:p>
          <w:p w:rsidR="00236122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</w:p>
          <w:p w:rsidR="00615D5E" w:rsidRPr="00615D5E" w:rsidRDefault="000C57D8" w:rsidP="0023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</w:p>
        </w:tc>
        <w:tc>
          <w:tcPr>
            <w:tcW w:w="311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0C57D8" w:rsidRPr="00615D5E" w:rsidRDefault="000C57D8" w:rsidP="0023612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как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средство…</w:t>
            </w:r>
          </w:p>
          <w:p w:rsidR="000C57D8" w:rsidRPr="00615D5E" w:rsidRDefault="000C57D8" w:rsidP="0023612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как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условие…</w:t>
            </w:r>
          </w:p>
          <w:p w:rsidR="000C57D8" w:rsidRPr="00615D5E" w:rsidRDefault="000C57D8" w:rsidP="0023612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…аспект…</w:t>
            </w:r>
          </w:p>
          <w:p w:rsidR="000C57D8" w:rsidRPr="00615D5E" w:rsidRDefault="000C57D8" w:rsidP="0023612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…фактор…</w:t>
            </w:r>
          </w:p>
          <w:p w:rsidR="000C57D8" w:rsidRPr="00615D5E" w:rsidRDefault="000C57D8" w:rsidP="0023612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…основа…</w:t>
            </w:r>
          </w:p>
          <w:p w:rsidR="00615D5E" w:rsidRPr="00615D5E" w:rsidRDefault="000C57D8" w:rsidP="0023612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…механизм…</w:t>
            </w:r>
          </w:p>
        </w:tc>
        <w:tc>
          <w:tcPr>
            <w:tcW w:w="311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615D5E" w:rsidRPr="00615D5E" w:rsidRDefault="000C57D8" w:rsidP="0023612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развития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…совершенствования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…активизации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…повышения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…оптимизации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…эффективности</w:t>
            </w:r>
            <w:r w:rsidR="0023612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15D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…реализации</w:t>
            </w:r>
          </w:p>
        </w:tc>
      </w:tr>
    </w:tbl>
    <w:p w:rsidR="000C57D8" w:rsidRDefault="000C57D8" w:rsidP="00AD2054">
      <w:pPr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Таким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образом,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темы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самообразования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традиционной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формулировке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звучат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так: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«Формирование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универсальных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учебных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действий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уроках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(предмет)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посредством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использования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принципов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деятельностного</w:t>
      </w:r>
      <w:proofErr w:type="spellEnd"/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подхода»,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«Личностно-ориентированный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подход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как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важное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условие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эффективности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процесса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обучения»,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«Повышение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функциональной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грамотности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обучающихся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уроках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иностранного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языка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через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использование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игровых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технологий»,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«Нетрадиционные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типы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уроков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как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средство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развития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творческих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способностей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младших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школьников»,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«Игра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как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средство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интерактивного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обучения»,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«Речевые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упражнения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уроках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литературного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чтения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как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один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из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аспектов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личностно-ориентированного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обучения»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т.д.</w:t>
      </w:r>
    </w:p>
    <w:p w:rsidR="000C57D8" w:rsidRPr="00001625" w:rsidRDefault="00236122" w:rsidP="00AD2054">
      <w:pPr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3.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иметь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нетипичную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формулировку: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«Через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книгу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грамотности,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культуре,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душе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…»,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«Как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построить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личностно-ориентированный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</w:t>
      </w:r>
      <w:proofErr w:type="gramStart"/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</w:t>
      </w:r>
      <w:proofErr w:type="gramEnd"/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Научно-практический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аспект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преподавании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биологии»,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«Разработка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занятий-исследований»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0016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пр.</w:t>
      </w:r>
    </w:p>
    <w:p w:rsidR="000C57D8" w:rsidRPr="00364D76" w:rsidRDefault="000C57D8" w:rsidP="00AD2054">
      <w:pPr>
        <w:spacing w:after="0" w:line="240" w:lineRule="auto"/>
        <w:ind w:firstLine="426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4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Темы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должны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15D5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быть:</w:t>
      </w:r>
      <w:r w:rsidR="00236122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0C57D8" w:rsidRPr="00364D76" w:rsidRDefault="000C57D8" w:rsidP="00AD2054">
      <w:pPr>
        <w:pStyle w:val="a4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слишком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общими: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«Использование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инновационных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технологий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обучении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</w:t>
      </w:r>
      <w:proofErr w:type="gramEnd"/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(предмет)»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(нельзя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освоить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совершенстве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одновременно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все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инновационные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технологии;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это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может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быть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либо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одна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технология,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либо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некоторые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приёмы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нескольких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технологий);</w:t>
      </w:r>
    </w:p>
    <w:p w:rsidR="000C57D8" w:rsidRPr="00364D76" w:rsidRDefault="00236122" w:rsidP="00AD2054">
      <w:pPr>
        <w:pStyle w:val="a4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незавершёнными: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«Способы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активизации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обучающихся»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</w:t>
      </w:r>
      <w:proofErr w:type="gramEnd"/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формулировка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незакончена,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возникают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вопросы: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«Для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чего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активизируете?»,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«На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каком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предмете?»);</w:t>
      </w:r>
    </w:p>
    <w:p w:rsidR="000C57D8" w:rsidRPr="00364D76" w:rsidRDefault="00236122" w:rsidP="00AD2054">
      <w:pPr>
        <w:pStyle w:val="a4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слишком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повседневными: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«Формирование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знаний,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умений,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навыков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уроках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(предмет)»,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«Активизация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мыслительной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C57D8" w:rsidRPr="00364D7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уроках».</w:t>
      </w:r>
    </w:p>
    <w:p w:rsidR="00C90FB1" w:rsidRDefault="00C90FB1" w:rsidP="00AD205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bookmarkStart w:id="0" w:name="_GoBack"/>
      <w:bookmarkEnd w:id="0"/>
    </w:p>
    <w:p w:rsidR="0070325B" w:rsidRPr="00236122" w:rsidRDefault="000C57D8" w:rsidP="00AD2054">
      <w:pPr>
        <w:pStyle w:val="a4"/>
        <w:spacing w:after="0" w:line="240" w:lineRule="auto"/>
        <w:ind w:left="0" w:firstLine="426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Методическая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учеба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индивидуальному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плану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саморазвития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рамках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ШМП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продолжается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следующей</w:t>
      </w:r>
      <w:r w:rsidR="0023612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статье</w:t>
      </w:r>
    </w:p>
    <w:sectPr w:rsidR="0070325B" w:rsidRPr="00236122" w:rsidSect="0070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34A"/>
    <w:multiLevelType w:val="hybridMultilevel"/>
    <w:tmpl w:val="F2B6E872"/>
    <w:lvl w:ilvl="0" w:tplc="301C19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636B7C"/>
    <w:multiLevelType w:val="multilevel"/>
    <w:tmpl w:val="F2B6E8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5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C30085"/>
    <w:multiLevelType w:val="hybridMultilevel"/>
    <w:tmpl w:val="30AE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64691"/>
    <w:multiLevelType w:val="hybridMultilevel"/>
    <w:tmpl w:val="F99EC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7D8"/>
    <w:rsid w:val="00001625"/>
    <w:rsid w:val="000C57D8"/>
    <w:rsid w:val="00236122"/>
    <w:rsid w:val="0070325B"/>
    <w:rsid w:val="00AD2054"/>
    <w:rsid w:val="00C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DD341-83B9-4AB9-BEB3-50C6AC04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Sandibala</dc:creator>
  <cp:lastModifiedBy>Sys admin</cp:lastModifiedBy>
  <cp:revision>4</cp:revision>
  <dcterms:created xsi:type="dcterms:W3CDTF">2020-10-31T05:30:00Z</dcterms:created>
  <dcterms:modified xsi:type="dcterms:W3CDTF">2020-11-17T09:35:00Z</dcterms:modified>
</cp:coreProperties>
</file>